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7CE" w:rsidRDefault="00B127CE" w:rsidP="0006747A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>
        <w:rPr>
          <w:rFonts w:ascii="Palatino Linotype" w:hAnsi="Palatino Linotype" w:cs="Arial"/>
          <w:b/>
        </w:rPr>
        <w:t xml:space="preserve">CUARTA </w:t>
      </w:r>
      <w:r w:rsidRPr="0007653D">
        <w:rPr>
          <w:rFonts w:ascii="Palatino Linotype" w:hAnsi="Palatino Linotype" w:cs="Arial"/>
          <w:b/>
        </w:rPr>
        <w:t xml:space="preserve">SESIÓN ORDINARIA DE </w:t>
      </w:r>
      <w:r>
        <w:rPr>
          <w:rFonts w:ascii="Palatino Linotype" w:hAnsi="Palatino Linotype" w:cs="Arial"/>
          <w:b/>
        </w:rPr>
        <w:t>TREINTA DE ENERO DE DOS MIL DIECINUEVE</w:t>
      </w:r>
      <w:r w:rsidRPr="0007653D">
        <w:rPr>
          <w:rFonts w:ascii="Palatino Linotype" w:hAnsi="Palatino Linotype" w:cs="Arial"/>
          <w:b/>
        </w:rPr>
        <w:t>, EN EL RECURSO DE REVISIÓN 0</w:t>
      </w:r>
      <w:r>
        <w:rPr>
          <w:rFonts w:ascii="Palatino Linotype" w:hAnsi="Palatino Linotype" w:cs="Arial"/>
          <w:b/>
        </w:rPr>
        <w:t>4579/INFOEM/IP/RR/2018</w:t>
      </w:r>
      <w:r w:rsidRPr="00E42755">
        <w:rPr>
          <w:rFonts w:ascii="Palatino Linotype" w:eastAsia="Calibri" w:hAnsi="Palatino Linotype" w:cs="Arial"/>
          <w:b/>
          <w:color w:val="000000"/>
        </w:rPr>
        <w:t>.</w:t>
      </w:r>
    </w:p>
    <w:p w:rsidR="0006747A" w:rsidRPr="00E42755" w:rsidRDefault="0006747A" w:rsidP="0006747A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</w:p>
    <w:p w:rsidR="00B127CE" w:rsidRDefault="00B127CE" w:rsidP="0006747A">
      <w:pPr>
        <w:spacing w:line="360" w:lineRule="auto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14,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 xml:space="preserve">respecto de la resolución dictada en el recurso de revisión </w:t>
      </w:r>
      <w:r w:rsidRPr="00E42755">
        <w:rPr>
          <w:rFonts w:ascii="Palatino Linotype" w:eastAsia="Calibri" w:hAnsi="Palatino Linotype" w:cs="Arial"/>
          <w:b/>
          <w:color w:val="000000"/>
        </w:rPr>
        <w:t>0</w:t>
      </w:r>
      <w:r>
        <w:rPr>
          <w:rFonts w:ascii="Palatino Linotype" w:eastAsia="Calibri" w:hAnsi="Palatino Linotype" w:cs="Arial"/>
          <w:b/>
          <w:color w:val="000000"/>
        </w:rPr>
        <w:t>4579/</w:t>
      </w:r>
      <w:r w:rsidRPr="00E42755">
        <w:rPr>
          <w:rFonts w:ascii="Palatino Linotype" w:eastAsia="Calibri" w:hAnsi="Palatino Linotype" w:cs="Arial"/>
          <w:b/>
          <w:color w:val="000000"/>
        </w:rPr>
        <w:t>INFOEM/IP/RR/201</w:t>
      </w:r>
      <w:r>
        <w:rPr>
          <w:rFonts w:ascii="Palatino Linotype" w:eastAsia="Calibri" w:hAnsi="Palatino Linotype" w:cs="Arial"/>
          <w:b/>
          <w:color w:val="000000"/>
        </w:rPr>
        <w:t>8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>
        <w:rPr>
          <w:rFonts w:ascii="Palatino Linotype" w:hAnsi="Palatino Linotype" w:cs="Arial"/>
        </w:rPr>
        <w:t xml:space="preserve">el </w:t>
      </w:r>
      <w:r w:rsidRPr="00E42755">
        <w:rPr>
          <w:rFonts w:ascii="Palatino Linotype" w:hAnsi="Palatino Linotype" w:cs="Arial"/>
        </w:rPr>
        <w:t>Comisionad</w:t>
      </w:r>
      <w:r>
        <w:rPr>
          <w:rFonts w:ascii="Palatino Linotype" w:hAnsi="Palatino Linotype" w:cs="Arial"/>
        </w:rPr>
        <w:t xml:space="preserve">o </w:t>
      </w:r>
      <w:r>
        <w:rPr>
          <w:rFonts w:ascii="Palatino Linotype" w:hAnsi="Palatino Linotype" w:cs="Arial"/>
          <w:b/>
        </w:rPr>
        <w:t>JAVIER MARTÍNEZ CRUZ</w:t>
      </w:r>
      <w:r w:rsidRPr="0007653D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que es del tenor siguiente.</w:t>
      </w:r>
    </w:p>
    <w:p w:rsidR="0006747A" w:rsidRPr="00E42755" w:rsidRDefault="0006747A" w:rsidP="0006747A">
      <w:pPr>
        <w:spacing w:line="360" w:lineRule="auto"/>
        <w:jc w:val="both"/>
        <w:rPr>
          <w:rFonts w:ascii="Palatino Linotype" w:hAnsi="Palatino Linotype" w:cs="Arial"/>
        </w:rPr>
      </w:pPr>
    </w:p>
    <w:p w:rsidR="0006747A" w:rsidRDefault="00B127CE" w:rsidP="0006747A">
      <w:pPr>
        <w:spacing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el sentido de la resolución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>ión; empero, estimo</w:t>
      </w:r>
      <w:r w:rsidRPr="00D93A88">
        <w:rPr>
          <w:rFonts w:ascii="Palatino Linotype" w:hAnsi="Palatino Linotype"/>
        </w:rPr>
        <w:t xml:space="preserve"> necesario precisar algunas consideraciones de hecho y de derecho</w:t>
      </w:r>
      <w:r>
        <w:rPr>
          <w:rFonts w:ascii="Palatino Linotype" w:hAnsi="Palatino Linotype"/>
        </w:rPr>
        <w:t xml:space="preserve">, tocante a </w:t>
      </w:r>
      <w:r w:rsidR="0006747A">
        <w:rPr>
          <w:rFonts w:ascii="Palatino Linotype" w:hAnsi="Palatino Linotype"/>
        </w:rPr>
        <w:t xml:space="preserve">parte de la </w:t>
      </w:r>
      <w:r>
        <w:rPr>
          <w:rFonts w:ascii="Palatino Linotype" w:hAnsi="Palatino Linotype"/>
        </w:rPr>
        <w:t xml:space="preserve">información de la que se ordena </w:t>
      </w:r>
      <w:r w:rsidR="0006747A">
        <w:rPr>
          <w:rFonts w:ascii="Palatino Linotype" w:hAnsi="Palatino Linotype"/>
        </w:rPr>
        <w:t>su entrega.</w:t>
      </w:r>
    </w:p>
    <w:p w:rsidR="0006747A" w:rsidRDefault="0006747A" w:rsidP="0006747A">
      <w:pPr>
        <w:spacing w:line="360" w:lineRule="auto"/>
        <w:jc w:val="both"/>
        <w:rPr>
          <w:rFonts w:ascii="Palatino Linotype" w:hAnsi="Palatino Linotype"/>
        </w:rPr>
      </w:pPr>
    </w:p>
    <w:p w:rsidR="00B127CE" w:rsidRDefault="00B127CE" w:rsidP="0006747A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>al y como quedó debidamente asentado en la resolución materia del</w:t>
      </w:r>
      <w:r>
        <w:rPr>
          <w:rFonts w:ascii="Palatino Linotype" w:hAnsi="Palatino Linotype"/>
        </w:rPr>
        <w:t xml:space="preserve"> presente voto, la</w:t>
      </w:r>
      <w:r w:rsidRPr="00D93A88">
        <w:rPr>
          <w:rFonts w:ascii="Palatino Linotype" w:hAnsi="Palatino Linotype"/>
        </w:rPr>
        <w:t xml:space="preserve"> particular </w:t>
      </w:r>
      <w:r>
        <w:rPr>
          <w:rFonts w:ascii="Palatino Linotype" w:hAnsi="Palatino Linotype"/>
        </w:rPr>
        <w:t xml:space="preserve">requirió al </w:t>
      </w:r>
      <w:r>
        <w:rPr>
          <w:rFonts w:ascii="Palatino Linotype" w:hAnsi="Palatino Linotype"/>
          <w:b/>
        </w:rPr>
        <w:t>Ayuntamiento de Valle de Chalco Solidaridad</w:t>
      </w:r>
      <w:r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lastRenderedPageBreak/>
        <w:t xml:space="preserve">en lo sucesivo </w:t>
      </w:r>
      <w:r>
        <w:rPr>
          <w:rFonts w:ascii="Palatino Linotype" w:hAnsi="Palatino Linotype"/>
          <w:b/>
        </w:rPr>
        <w:t>EL S</w:t>
      </w:r>
      <w:r w:rsidRPr="008C0700">
        <w:rPr>
          <w:rFonts w:ascii="Palatino Linotype" w:hAnsi="Palatino Linotype"/>
          <w:b/>
        </w:rPr>
        <w:t>UJETO OBLIGADO</w:t>
      </w:r>
      <w:r>
        <w:rPr>
          <w:rFonts w:ascii="Palatino Linotype" w:hAnsi="Palatino Linotype"/>
          <w:b/>
        </w:rPr>
        <w:t>,</w:t>
      </w:r>
      <w:r>
        <w:rPr>
          <w:rFonts w:ascii="Palatino Linotype" w:hAnsi="Palatino Linotype"/>
        </w:rPr>
        <w:t xml:space="preserve"> el salario bruto y neto mensual que perciben el Presidente Municipal, Síndico y Regidores.</w:t>
      </w:r>
    </w:p>
    <w:p w:rsidR="0006747A" w:rsidRDefault="0006747A" w:rsidP="0006747A">
      <w:pPr>
        <w:spacing w:line="360" w:lineRule="auto"/>
        <w:jc w:val="both"/>
        <w:rPr>
          <w:rFonts w:ascii="Palatino Linotype" w:hAnsi="Palatino Linotype"/>
        </w:rPr>
      </w:pPr>
    </w:p>
    <w:p w:rsidR="002E7916" w:rsidRDefault="00B127CE" w:rsidP="0006747A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Del expediente electrónico del </w:t>
      </w:r>
      <w:r w:rsidRPr="00D87598">
        <w:rPr>
          <w:rFonts w:ascii="Palatino Linotype" w:hAnsi="Palatino Linotype" w:cs="Arial"/>
        </w:rPr>
        <w:t>Sistema de Acceso a la Información Mexiquens</w:t>
      </w:r>
      <w:r>
        <w:rPr>
          <w:rFonts w:ascii="Palatino Linotype" w:hAnsi="Palatino Linotype" w:cs="Arial"/>
        </w:rPr>
        <w:t xml:space="preserve">e, </w:t>
      </w:r>
      <w:r w:rsidRPr="00674996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 xml:space="preserve">se advierte que </w:t>
      </w:r>
      <w:r w:rsidRPr="00B57FE6">
        <w:rPr>
          <w:rFonts w:ascii="Palatino Linotype" w:hAnsi="Palatino Linotype" w:cs="Arial"/>
          <w:b/>
        </w:rPr>
        <w:t>EL SUJETO OBLIGADO</w:t>
      </w:r>
      <w:r w:rsidRPr="00AD7F4F">
        <w:rPr>
          <w:rFonts w:ascii="Palatino Linotype" w:hAnsi="Palatino Linotype" w:cs="Arial"/>
        </w:rPr>
        <w:t xml:space="preserve">, </w:t>
      </w:r>
      <w:r w:rsidR="002E7916">
        <w:rPr>
          <w:rFonts w:ascii="Palatino Linotype" w:hAnsi="Palatino Linotype" w:cs="Arial"/>
        </w:rPr>
        <w:t>fue omiso en dar respuesta a la solicitud de información planteada.</w:t>
      </w:r>
    </w:p>
    <w:p w:rsidR="0006747A" w:rsidRDefault="0006747A" w:rsidP="0006747A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2E7916" w:rsidRDefault="00B127CE" w:rsidP="0006747A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  <w:color w:val="000000"/>
          <w:lang w:val="es-MX" w:eastAsia="es-MX"/>
        </w:rPr>
        <w:t xml:space="preserve">Inconforme con la </w:t>
      </w:r>
      <w:r w:rsidR="002E7916">
        <w:rPr>
          <w:rFonts w:ascii="Palatino Linotype" w:hAnsi="Palatino Linotype"/>
          <w:color w:val="000000"/>
          <w:lang w:val="es-MX" w:eastAsia="es-MX"/>
        </w:rPr>
        <w:t xml:space="preserve">falta </w:t>
      </w:r>
      <w:r>
        <w:rPr>
          <w:rFonts w:ascii="Palatino Linotype" w:hAnsi="Palatino Linotype"/>
          <w:color w:val="000000"/>
          <w:lang w:val="es-MX" w:eastAsia="es-MX"/>
        </w:rPr>
        <w:t xml:space="preserve">respuesta, </w:t>
      </w:r>
      <w:r w:rsidR="002E7916">
        <w:rPr>
          <w:rFonts w:ascii="Palatino Linotype" w:hAnsi="Palatino Linotype"/>
          <w:b/>
          <w:color w:val="000000"/>
          <w:lang w:val="es-MX" w:eastAsia="es-MX"/>
        </w:rPr>
        <w:t>LA</w:t>
      </w:r>
      <w:r>
        <w:rPr>
          <w:rFonts w:ascii="Palatino Linotype" w:hAnsi="Palatino Linotype"/>
          <w:b/>
          <w:color w:val="000000"/>
          <w:lang w:val="es-MX" w:eastAsia="es-MX"/>
        </w:rPr>
        <w:t xml:space="preserve"> R</w:t>
      </w:r>
      <w:r w:rsidRPr="00833697">
        <w:rPr>
          <w:rFonts w:ascii="Palatino Linotype" w:hAnsi="Palatino Linotype"/>
          <w:b/>
          <w:color w:val="000000"/>
          <w:lang w:val="es-MX" w:eastAsia="es-MX"/>
        </w:rPr>
        <w:t>ECURRENTE</w:t>
      </w:r>
      <w:r>
        <w:rPr>
          <w:rFonts w:ascii="Palatino Linotype" w:hAnsi="Palatino Linotype"/>
          <w:color w:val="000000"/>
          <w:lang w:val="es-MX" w:eastAsia="es-MX"/>
        </w:rPr>
        <w:t xml:space="preserve"> </w:t>
      </w:r>
      <w:r>
        <w:rPr>
          <w:rFonts w:ascii="Palatino Linotype" w:hAnsi="Palatino Linotype" w:cs="Arial"/>
        </w:rPr>
        <w:t>interpuso el recurso de revisión de mérito</w:t>
      </w:r>
      <w:r w:rsidR="002E7916">
        <w:rPr>
          <w:rFonts w:ascii="Palatino Linotype" w:hAnsi="Palatino Linotype" w:cs="Arial"/>
        </w:rPr>
        <w:t>.</w:t>
      </w:r>
    </w:p>
    <w:p w:rsidR="0006747A" w:rsidRDefault="0006747A" w:rsidP="0006747A">
      <w:pPr>
        <w:spacing w:line="360" w:lineRule="auto"/>
        <w:jc w:val="both"/>
        <w:rPr>
          <w:rFonts w:ascii="Palatino Linotype" w:hAnsi="Palatino Linotype" w:cs="Arial"/>
        </w:rPr>
      </w:pPr>
    </w:p>
    <w:p w:rsidR="002E7916" w:rsidRDefault="002E7916" w:rsidP="0006747A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Bajo ese tenor, se advierte que</w:t>
      </w:r>
      <w:r w:rsidR="0006747A">
        <w:rPr>
          <w:rFonts w:ascii="Palatino Linotype" w:hAnsi="Palatino Linotype" w:cs="Arial"/>
        </w:rPr>
        <w:t xml:space="preserve"> durante la etapa de manifestaciones subsistió la negativa del </w:t>
      </w:r>
      <w:r>
        <w:rPr>
          <w:rFonts w:ascii="Palatino Linotype" w:hAnsi="Palatino Linotype" w:cs="Arial"/>
          <w:b/>
        </w:rPr>
        <w:t xml:space="preserve">SUJETO OBLIGADO </w:t>
      </w:r>
      <w:r w:rsidR="0006747A">
        <w:rPr>
          <w:rFonts w:ascii="Palatino Linotype" w:hAnsi="Palatino Linotype" w:cs="Arial"/>
        </w:rPr>
        <w:t xml:space="preserve">pues éste no </w:t>
      </w:r>
      <w:r>
        <w:rPr>
          <w:rFonts w:ascii="Palatino Linotype" w:hAnsi="Palatino Linotype" w:cs="Arial"/>
        </w:rPr>
        <w:t>remitió el Informe Justificado correspondiente.</w:t>
      </w:r>
    </w:p>
    <w:p w:rsidR="0006747A" w:rsidRPr="002E7916" w:rsidRDefault="0006747A" w:rsidP="0006747A">
      <w:pPr>
        <w:spacing w:line="360" w:lineRule="auto"/>
        <w:jc w:val="both"/>
        <w:rPr>
          <w:rFonts w:ascii="Palatino Linotype" w:hAnsi="Palatino Linotype" w:cs="Arial"/>
        </w:rPr>
      </w:pPr>
    </w:p>
    <w:p w:rsidR="00B127CE" w:rsidRDefault="002E7916" w:rsidP="0006747A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Así, del estudio al</w:t>
      </w:r>
      <w:r w:rsidR="00B127CE">
        <w:rPr>
          <w:rFonts w:ascii="Palatino Linotype" w:hAnsi="Palatino Linotype"/>
        </w:rPr>
        <w:t xml:space="preserve"> </w:t>
      </w:r>
      <w:r w:rsidR="00B127CE" w:rsidRPr="00A01905">
        <w:rPr>
          <w:rFonts w:ascii="Palatino Linotype" w:hAnsi="Palatino Linotype"/>
        </w:rPr>
        <w:t>expediente electrónico</w:t>
      </w:r>
      <w:r>
        <w:rPr>
          <w:rFonts w:ascii="Palatino Linotype" w:hAnsi="Palatino Linotype"/>
        </w:rPr>
        <w:t xml:space="preserve"> que obra en el SAIMEX</w:t>
      </w:r>
      <w:r w:rsidR="00B127CE">
        <w:rPr>
          <w:rFonts w:ascii="Palatino Linotype" w:hAnsi="Palatino Linotype" w:cs="Arial"/>
        </w:rPr>
        <w:t xml:space="preserve"> la Ponencia Resolutora determinó </w:t>
      </w:r>
      <w:r>
        <w:rPr>
          <w:rFonts w:ascii="Palatino Linotype" w:hAnsi="Palatino Linotype" w:cs="Arial"/>
          <w:b/>
        </w:rPr>
        <w:t>ORDENA</w:t>
      </w:r>
      <w:r w:rsidR="00B127CE" w:rsidRPr="00EB5E83">
        <w:rPr>
          <w:rFonts w:ascii="Palatino Linotype" w:hAnsi="Palatino Linotype" w:cs="Arial"/>
          <w:b/>
        </w:rPr>
        <w:t>R</w:t>
      </w:r>
      <w:r>
        <w:rPr>
          <w:rFonts w:ascii="Palatino Linotype" w:hAnsi="Palatino Linotype" w:cs="Arial"/>
        </w:rPr>
        <w:t xml:space="preserve"> al </w:t>
      </w:r>
      <w:r w:rsidR="00B127CE">
        <w:rPr>
          <w:rFonts w:ascii="Palatino Linotype" w:hAnsi="Palatino Linotype" w:cs="Arial"/>
          <w:b/>
        </w:rPr>
        <w:t xml:space="preserve">SUJETO OBLIGADO </w:t>
      </w:r>
      <w:r w:rsidR="00B127CE">
        <w:rPr>
          <w:rFonts w:ascii="Palatino Linotype" w:hAnsi="Palatino Linotype" w:cs="Arial"/>
        </w:rPr>
        <w:t xml:space="preserve">la entrega en versión pública y vía </w:t>
      </w:r>
      <w:r w:rsidR="00B127CE" w:rsidRPr="00EB5E83">
        <w:rPr>
          <w:rFonts w:ascii="Palatino Linotype" w:hAnsi="Palatino Linotype" w:cs="Arial"/>
          <w:b/>
        </w:rPr>
        <w:t>SAIMEX</w:t>
      </w:r>
      <w:r w:rsidR="00B127CE">
        <w:rPr>
          <w:rFonts w:ascii="Palatino Linotype" w:hAnsi="Palatino Linotype" w:cs="Arial"/>
        </w:rPr>
        <w:t xml:space="preserve"> de lo siguiente:</w:t>
      </w:r>
    </w:p>
    <w:p w:rsidR="0006747A" w:rsidRPr="00EB5E83" w:rsidRDefault="0006747A" w:rsidP="0006747A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2E7916" w:rsidRPr="002E7916" w:rsidRDefault="002E7916" w:rsidP="0006747A">
      <w:pPr>
        <w:pStyle w:val="Prrafodelista"/>
        <w:numPr>
          <w:ilvl w:val="0"/>
          <w:numId w:val="2"/>
        </w:numPr>
        <w:ind w:left="1134" w:right="899" w:hanging="3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E7916">
        <w:rPr>
          <w:rFonts w:ascii="Palatino Linotype" w:hAnsi="Palatino Linotype" w:cs="Arial"/>
          <w:i/>
          <w:sz w:val="22"/>
          <w:szCs w:val="22"/>
        </w:rPr>
        <w:t>Documento o documentos donde conste el salario bruto y neto del Presidente Municipal, Síndico y Regidores, correspondientes a la primera y segunda quincena de septiembre y octubre de dos mil dieciocho.</w:t>
      </w:r>
      <w:r w:rsidRPr="002E7916">
        <w:rPr>
          <w:rFonts w:ascii="Palatino Linotype" w:hAnsi="Palatino Linotype"/>
          <w:i/>
          <w:sz w:val="22"/>
          <w:szCs w:val="22"/>
        </w:rPr>
        <w:t xml:space="preserve"> </w:t>
      </w:r>
    </w:p>
    <w:p w:rsidR="002E7916" w:rsidRDefault="002E7916" w:rsidP="0006747A">
      <w:pPr>
        <w:pStyle w:val="Prrafodelista"/>
        <w:ind w:left="1134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2E7916" w:rsidRPr="002E7916" w:rsidRDefault="002E7916" w:rsidP="0006747A">
      <w:pPr>
        <w:pStyle w:val="Prrafodelista"/>
        <w:ind w:left="1134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E7916">
        <w:rPr>
          <w:rFonts w:ascii="Palatino Linotype" w:hAnsi="Palatino Linotype" w:cs="Arial"/>
          <w:i/>
          <w:sz w:val="22"/>
          <w:szCs w:val="22"/>
        </w:rPr>
        <w:t>Para lo cual se deberá emitir el Acuerdo del Comité de Transparencia de acuerdo con la Ley de Transparencia y Acceso a la Información Pública del Estado de México y Municipios, en el que funde y motive las razones sobre los datos que se supriman o eliminen del documento que se ordena, mismo que igualmente se hará de conocimiento del Recurrente.</w:t>
      </w:r>
    </w:p>
    <w:p w:rsidR="00B127CE" w:rsidRDefault="00B127CE" w:rsidP="0006747A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4F3DBF">
        <w:rPr>
          <w:rFonts w:ascii="Palatino Linotype" w:hAnsi="Palatino Linotype" w:cs="Arial"/>
          <w:lang w:val="es-MX"/>
        </w:rPr>
        <w:lastRenderedPageBreak/>
        <w:t>E</w:t>
      </w:r>
      <w:r w:rsidR="00F436AF">
        <w:rPr>
          <w:rFonts w:ascii="Palatino Linotype" w:hAnsi="Palatino Linotype" w:cs="Arial"/>
          <w:lang w:val="es-MX"/>
        </w:rPr>
        <w:t xml:space="preserve">n ese sentido, la </w:t>
      </w:r>
      <w:r>
        <w:rPr>
          <w:rFonts w:ascii="Palatino Linotype" w:hAnsi="Palatino Linotype" w:cs="Arial"/>
          <w:lang w:val="es-MX"/>
        </w:rPr>
        <w:t>suscri</w:t>
      </w:r>
      <w:r w:rsidR="00F436AF">
        <w:rPr>
          <w:rFonts w:ascii="Palatino Linotype" w:hAnsi="Palatino Linotype" w:cs="Arial"/>
          <w:lang w:val="es-MX"/>
        </w:rPr>
        <w:t>ta reitera, que si bien coincide</w:t>
      </w:r>
      <w:r w:rsidRPr="004F3DBF">
        <w:rPr>
          <w:rFonts w:ascii="Palatino Linotype" w:hAnsi="Palatino Linotype" w:cs="Arial"/>
          <w:lang w:val="es-MX"/>
        </w:rPr>
        <w:t xml:space="preserve"> en términos generales con el </w:t>
      </w:r>
      <w:r>
        <w:rPr>
          <w:rFonts w:ascii="Palatino Linotype" w:hAnsi="Palatino Linotype" w:cs="Arial"/>
          <w:lang w:val="es-MX"/>
        </w:rPr>
        <w:t>sentido de la resolución en comento,</w:t>
      </w:r>
      <w:r w:rsidRPr="004F3DBF">
        <w:rPr>
          <w:rFonts w:ascii="Palatino Linotype" w:hAnsi="Palatino Linotype" w:cs="Arial"/>
          <w:lang w:val="es-MX"/>
        </w:rPr>
        <w:t xml:space="preserve"> difiero respecto </w:t>
      </w:r>
      <w:r>
        <w:rPr>
          <w:rFonts w:ascii="Palatino Linotype" w:hAnsi="Palatino Linotype" w:cs="Arial"/>
          <w:lang w:val="es-MX"/>
        </w:rPr>
        <w:t>al periodo de entrega de la información señalada en el</w:t>
      </w:r>
      <w:r w:rsidR="00F436AF">
        <w:rPr>
          <w:rFonts w:ascii="Palatino Linotype" w:hAnsi="Palatino Linotype" w:cs="Arial"/>
          <w:lang w:val="es-MX"/>
        </w:rPr>
        <w:t xml:space="preserve"> numeral 1</w:t>
      </w:r>
      <w:r>
        <w:rPr>
          <w:rFonts w:ascii="Palatino Linotype" w:hAnsi="Palatino Linotype" w:cs="Arial"/>
          <w:lang w:val="es-MX"/>
        </w:rPr>
        <w:t xml:space="preserve"> del </w:t>
      </w:r>
      <w:r w:rsidR="00F436AF">
        <w:rPr>
          <w:rFonts w:ascii="Palatino Linotype" w:hAnsi="Palatino Linotype" w:cs="Arial"/>
          <w:lang w:val="es-MX"/>
        </w:rPr>
        <w:t xml:space="preserve">Resolutivo </w:t>
      </w:r>
      <w:r>
        <w:rPr>
          <w:rFonts w:ascii="Palatino Linotype" w:hAnsi="Palatino Linotype" w:cs="Arial"/>
          <w:lang w:val="es-MX"/>
        </w:rPr>
        <w:t>SEGUNDO.</w:t>
      </w:r>
    </w:p>
    <w:p w:rsidR="0006747A" w:rsidRDefault="0006747A" w:rsidP="0006747A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F436AF" w:rsidRDefault="00B127CE" w:rsidP="0006747A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lang w:eastAsia="es-CO"/>
        </w:rPr>
        <w:t>Lo anterior debido a que,</w:t>
      </w:r>
      <w:r>
        <w:rPr>
          <w:rFonts w:ascii="Palatino Linotype" w:hAnsi="Palatino Linotype"/>
          <w:color w:val="000000"/>
        </w:rPr>
        <w:t xml:space="preserve"> </w:t>
      </w:r>
      <w:r w:rsidR="00F436AF">
        <w:rPr>
          <w:rFonts w:ascii="Palatino Linotype" w:hAnsi="Palatino Linotype"/>
          <w:color w:val="000000"/>
        </w:rPr>
        <w:t xml:space="preserve">la </w:t>
      </w:r>
      <w:r>
        <w:rPr>
          <w:rFonts w:ascii="Palatino Linotype" w:hAnsi="Palatino Linotype"/>
          <w:color w:val="000000"/>
        </w:rPr>
        <w:t>particular no precisó la temporalidad respecto de la cual deseaba conocer la información; sin embargo,</w:t>
      </w:r>
      <w:r w:rsidR="00F436AF">
        <w:rPr>
          <w:rFonts w:ascii="Palatino Linotype" w:hAnsi="Palatino Linotype"/>
          <w:color w:val="000000"/>
        </w:rPr>
        <w:t xml:space="preserve"> la Ponencia Resolutora debió suplir esta deficiencia en dicha solicitud de conformidad con </w:t>
      </w:r>
      <w:r w:rsidR="00F436AF" w:rsidRPr="00F436AF">
        <w:rPr>
          <w:rFonts w:ascii="Palatino Linotype" w:hAnsi="Palatino Linotype" w:cs="Arial"/>
          <w:bCs/>
        </w:rPr>
        <w:t>los artículos 13 y 181, párrafo cuarto de la Ley de la materia</w:t>
      </w:r>
      <w:r w:rsidR="00F436AF">
        <w:rPr>
          <w:rStyle w:val="Refdenotaalpie"/>
          <w:rFonts w:ascii="Palatino Linotype" w:hAnsi="Palatino Linotype" w:cs="Arial"/>
          <w:bCs/>
        </w:rPr>
        <w:footnoteReference w:id="1"/>
      </w:r>
      <w:r w:rsidR="00F436AF" w:rsidRPr="00F436AF">
        <w:rPr>
          <w:rFonts w:ascii="Palatino Linotype" w:hAnsi="Palatino Linotype" w:cs="Arial"/>
          <w:bCs/>
        </w:rPr>
        <w:t xml:space="preserve">, a fin de precisar que la temporalidad de la cual </w:t>
      </w:r>
      <w:r w:rsidR="00F436AF" w:rsidRPr="00F436AF">
        <w:rPr>
          <w:rFonts w:ascii="Palatino Linotype" w:hAnsi="Palatino Linotype" w:cs="Arial"/>
          <w:b/>
          <w:bCs/>
        </w:rPr>
        <w:t xml:space="preserve">EL SUJETO OBLIGADO </w:t>
      </w:r>
      <w:r w:rsidR="003202A4">
        <w:rPr>
          <w:rFonts w:ascii="Palatino Linotype" w:hAnsi="Palatino Linotype" w:cs="Arial"/>
          <w:bCs/>
        </w:rPr>
        <w:t>entregaría</w:t>
      </w:r>
      <w:r w:rsidR="00F436AF" w:rsidRPr="00F436AF">
        <w:rPr>
          <w:rFonts w:ascii="Palatino Linotype" w:hAnsi="Palatino Linotype" w:cs="Arial"/>
          <w:bCs/>
        </w:rPr>
        <w:t xml:space="preserve"> la info</w:t>
      </w:r>
      <w:r w:rsidR="003202A4">
        <w:rPr>
          <w:rFonts w:ascii="Palatino Linotype" w:hAnsi="Palatino Linotype" w:cs="Arial"/>
          <w:bCs/>
        </w:rPr>
        <w:t>rmación correspondería</w:t>
      </w:r>
      <w:r w:rsidR="00F436AF" w:rsidRPr="00F436AF">
        <w:rPr>
          <w:rFonts w:ascii="Palatino Linotype" w:hAnsi="Palatino Linotype" w:cs="Arial"/>
          <w:bCs/>
        </w:rPr>
        <w:t xml:space="preserve"> al mes de septiembre de 2018, toda vez que, la solicitud de información se pr</w:t>
      </w:r>
      <w:r w:rsidR="0006747A">
        <w:rPr>
          <w:rFonts w:ascii="Palatino Linotype" w:hAnsi="Palatino Linotype" w:cs="Arial"/>
          <w:bCs/>
        </w:rPr>
        <w:t>esentó el 15</w:t>
      </w:r>
      <w:r w:rsidR="003202A4">
        <w:rPr>
          <w:rFonts w:ascii="Palatino Linotype" w:hAnsi="Palatino Linotype" w:cs="Arial"/>
          <w:bCs/>
        </w:rPr>
        <w:t xml:space="preserve"> de octubre de 2018.</w:t>
      </w:r>
    </w:p>
    <w:p w:rsidR="0006747A" w:rsidRDefault="0006747A" w:rsidP="0006747A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bCs/>
        </w:rPr>
      </w:pPr>
    </w:p>
    <w:p w:rsidR="003202A4" w:rsidRDefault="003202A4" w:rsidP="0006747A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>Es decir, al requerir la particular la información de manera mensual, lo procedente era que la Ponencia Resolutora, determinara la entrega de la información solicitada correspondiente al mes de septiembre,</w:t>
      </w:r>
      <w:r w:rsidR="0006747A">
        <w:rPr>
          <w:rFonts w:ascii="Palatino Linotype" w:hAnsi="Palatino Linotype" w:cs="Arial"/>
          <w:bCs/>
        </w:rPr>
        <w:t xml:space="preserve"> toda vez que a la fecha de la solicitud no había concluido el mes de octubre, y por tanto se estaría ordenando la entrega de</w:t>
      </w:r>
      <w:r w:rsidR="00451B2C">
        <w:rPr>
          <w:rFonts w:ascii="Palatino Linotype" w:hAnsi="Palatino Linotype" w:cs="Arial"/>
          <w:bCs/>
        </w:rPr>
        <w:t xml:space="preserve"> información futura, </w:t>
      </w:r>
      <w:r>
        <w:rPr>
          <w:rFonts w:ascii="Palatino Linotype" w:hAnsi="Palatino Linotype" w:cs="Arial"/>
          <w:bCs/>
        </w:rPr>
        <w:t xml:space="preserve">misma que no obraba en los archivos del </w:t>
      </w:r>
      <w:r>
        <w:rPr>
          <w:rFonts w:ascii="Palatino Linotype" w:hAnsi="Palatino Linotype" w:cs="Arial"/>
          <w:b/>
          <w:bCs/>
        </w:rPr>
        <w:t xml:space="preserve">SUEJTO OBLIGADO </w:t>
      </w:r>
      <w:r>
        <w:rPr>
          <w:rFonts w:ascii="Palatino Linotype" w:hAnsi="Palatino Linotype" w:cs="Arial"/>
          <w:bCs/>
        </w:rPr>
        <w:t xml:space="preserve">al momento en que </w:t>
      </w:r>
      <w:r>
        <w:rPr>
          <w:rFonts w:ascii="Palatino Linotype" w:hAnsi="Palatino Linotype" w:cs="Arial"/>
          <w:b/>
          <w:bCs/>
        </w:rPr>
        <w:t xml:space="preserve">LA RECURRENTE </w:t>
      </w:r>
      <w:r>
        <w:rPr>
          <w:rFonts w:ascii="Palatino Linotype" w:hAnsi="Palatino Linotype" w:cs="Arial"/>
          <w:bCs/>
        </w:rPr>
        <w:t>presentó su solicitud de información.</w:t>
      </w:r>
    </w:p>
    <w:p w:rsidR="0006747A" w:rsidRPr="00C06A58" w:rsidRDefault="0006747A" w:rsidP="0006747A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bCs/>
        </w:rPr>
      </w:pPr>
    </w:p>
    <w:p w:rsidR="00B127CE" w:rsidRDefault="00B127CE" w:rsidP="0006747A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Así, la Ponencia Resolutora debió</w:t>
      </w:r>
      <w:r w:rsidRPr="009F03BA">
        <w:rPr>
          <w:rFonts w:ascii="Palatino Linotype" w:hAnsi="Palatino Linotype" w:cs="Arial"/>
        </w:rPr>
        <w:t xml:space="preserve"> en</w:t>
      </w:r>
      <w:r>
        <w:rPr>
          <w:rFonts w:ascii="Palatino Linotype" w:hAnsi="Palatino Linotype" w:cs="Arial"/>
        </w:rPr>
        <w:t xml:space="preserve"> cumplimiento a los principios que rigen el actuar de este Órgano Garante establecido</w:t>
      </w:r>
      <w:r w:rsidR="00451B2C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en los artícu</w:t>
      </w:r>
      <w:r w:rsidRPr="009C5FF5">
        <w:rPr>
          <w:rFonts w:ascii="Palatino Linotype" w:hAnsi="Palatino Linotype" w:cs="Arial"/>
        </w:rPr>
        <w:t>los</w:t>
      </w:r>
      <w:r>
        <w:rPr>
          <w:rFonts w:ascii="Palatino Linotype" w:hAnsi="Palatino Linotype" w:cs="Arial"/>
        </w:rPr>
        <w:t xml:space="preserve"> 4 y 9</w:t>
      </w:r>
      <w:r w:rsidR="00451B2C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fracciones I, VII y VIII </w:t>
      </w:r>
      <w:r w:rsidRPr="009C5FF5">
        <w:rPr>
          <w:rFonts w:ascii="Palatino Linotype" w:hAnsi="Palatino Linotype" w:cs="Arial"/>
        </w:rPr>
        <w:t xml:space="preserve">de la </w:t>
      </w:r>
      <w:r w:rsidRPr="009C5FF5">
        <w:rPr>
          <w:rFonts w:ascii="Palatino Linotype" w:hAnsi="Palatino Linotype" w:cs="Arial"/>
        </w:rPr>
        <w:lastRenderedPageBreak/>
        <w:t>Ley de Transpar</w:t>
      </w:r>
      <w:r>
        <w:rPr>
          <w:rFonts w:ascii="Palatino Linotype" w:hAnsi="Palatino Linotype" w:cs="Arial"/>
        </w:rPr>
        <w:t>encia y Acceso</w:t>
      </w:r>
      <w:r w:rsidRPr="009C5FF5">
        <w:rPr>
          <w:rFonts w:ascii="Palatino Linotype" w:hAnsi="Palatino Linotype" w:cs="Arial"/>
        </w:rPr>
        <w:t xml:space="preserve"> a la Información Pú</w:t>
      </w:r>
      <w:r>
        <w:rPr>
          <w:rFonts w:ascii="Palatino Linotype" w:hAnsi="Palatino Linotype" w:cs="Arial"/>
        </w:rPr>
        <w:t>b</w:t>
      </w:r>
      <w:r w:rsidRPr="009C5FF5">
        <w:rPr>
          <w:rFonts w:ascii="Palatino Linotype" w:hAnsi="Palatino Linotype" w:cs="Arial"/>
        </w:rPr>
        <w:t>lica del Estado de México y</w:t>
      </w:r>
      <w:r>
        <w:rPr>
          <w:rFonts w:ascii="Palatino Linotype" w:hAnsi="Palatino Linotype" w:cs="Arial"/>
        </w:rPr>
        <w:t xml:space="preserve"> </w:t>
      </w:r>
      <w:r w:rsidRPr="009C5FF5">
        <w:rPr>
          <w:rFonts w:ascii="Palatino Linotype" w:hAnsi="Palatino Linotype" w:cs="Arial"/>
        </w:rPr>
        <w:t xml:space="preserve">Municipios, </w:t>
      </w:r>
      <w:r>
        <w:rPr>
          <w:rFonts w:ascii="Palatino Linotype" w:hAnsi="Palatino Linotype" w:cs="Arial"/>
        </w:rPr>
        <w:t>ordenar la entrega de</w:t>
      </w:r>
      <w:r w:rsidR="00451B2C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l</w:t>
      </w:r>
      <w:r w:rsidR="00451B2C">
        <w:rPr>
          <w:rFonts w:ascii="Palatino Linotype" w:hAnsi="Palatino Linotype" w:cs="Arial"/>
        </w:rPr>
        <w:t>a información solicitada al mes de septiembre</w:t>
      </w:r>
      <w:r w:rsidR="002F45C2">
        <w:rPr>
          <w:rFonts w:ascii="Palatino Linotype" w:hAnsi="Palatino Linotype" w:cs="Arial"/>
        </w:rPr>
        <w:t xml:space="preserve">, </w:t>
      </w:r>
      <w:r w:rsidR="0006747A">
        <w:rPr>
          <w:rFonts w:ascii="Palatino Linotype" w:hAnsi="Palatino Linotype" w:cs="Arial"/>
        </w:rPr>
        <w:t>pues</w:t>
      </w:r>
      <w:r w:rsidR="002F45C2">
        <w:rPr>
          <w:rFonts w:ascii="Palatino Linotype" w:hAnsi="Palatino Linotype" w:cs="Arial"/>
        </w:rPr>
        <w:t xml:space="preserve"> dicha temporalidad colma el derecho de acceso a la información de la hoy </w:t>
      </w:r>
      <w:r>
        <w:rPr>
          <w:rFonts w:ascii="Palatino Linotype" w:hAnsi="Palatino Linotype" w:cs="Arial"/>
          <w:b/>
        </w:rPr>
        <w:t xml:space="preserve">RECURRENTE, </w:t>
      </w:r>
      <w:r>
        <w:rPr>
          <w:rFonts w:ascii="Palatino Linotype" w:hAnsi="Palatino Linotype" w:cs="Arial"/>
        </w:rPr>
        <w:t xml:space="preserve">dando cumplimiento a </w:t>
      </w:r>
      <w:r w:rsidRPr="009C5FF5">
        <w:rPr>
          <w:rFonts w:ascii="Palatino Linotype" w:hAnsi="Palatino Linotype" w:cs="Arial"/>
        </w:rPr>
        <w:t xml:space="preserve">los principios de </w:t>
      </w:r>
      <w:r>
        <w:rPr>
          <w:rFonts w:ascii="Palatino Linotype" w:hAnsi="Palatino Linotype" w:cs="Arial"/>
        </w:rPr>
        <w:t xml:space="preserve">certeza jurídica, </w:t>
      </w:r>
      <w:r w:rsidRPr="009C5FF5">
        <w:rPr>
          <w:rFonts w:ascii="Palatino Linotype" w:hAnsi="Palatino Linotype" w:cs="Arial"/>
        </w:rPr>
        <w:t>máxima publicidad</w:t>
      </w:r>
      <w:r>
        <w:rPr>
          <w:rFonts w:ascii="Palatino Linotype" w:hAnsi="Palatino Linotype" w:cs="Arial"/>
        </w:rPr>
        <w:t xml:space="preserve"> </w:t>
      </w:r>
      <w:r w:rsidRPr="009C5FF5">
        <w:rPr>
          <w:rFonts w:ascii="Palatino Linotype" w:hAnsi="Palatino Linotype" w:cs="Arial"/>
        </w:rPr>
        <w:t xml:space="preserve">y </w:t>
      </w:r>
      <w:r w:rsidR="002F45C2">
        <w:rPr>
          <w:rFonts w:ascii="Palatino Linotype" w:hAnsi="Palatino Linotype" w:cs="Arial"/>
        </w:rPr>
        <w:t>objetividad q</w:t>
      </w:r>
      <w:r>
        <w:rPr>
          <w:rFonts w:ascii="Palatino Linotype" w:hAnsi="Palatino Linotype" w:cs="Arial"/>
        </w:rPr>
        <w:t>ue se trascriben a continuación:</w:t>
      </w:r>
    </w:p>
    <w:p w:rsidR="0006747A" w:rsidRDefault="0006747A" w:rsidP="0006747A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</w:rPr>
      </w:pPr>
    </w:p>
    <w:p w:rsidR="00B127CE" w:rsidRPr="00444E6E" w:rsidRDefault="00B127CE" w:rsidP="0006747A">
      <w:pPr>
        <w:ind w:left="709" w:right="1038"/>
        <w:jc w:val="both"/>
        <w:rPr>
          <w:rFonts w:ascii="Palatino Linotype" w:hAnsi="Palatino Linotype" w:cs="Arial"/>
          <w:bCs/>
          <w:i/>
          <w:sz w:val="22"/>
        </w:rPr>
      </w:pPr>
      <w:r w:rsidRPr="00444E6E">
        <w:rPr>
          <w:rFonts w:ascii="Palatino Linotype" w:hAnsi="Palatino Linotype" w:cs="Arial"/>
          <w:b/>
          <w:bCs/>
          <w:i/>
          <w:sz w:val="22"/>
        </w:rPr>
        <w:t>Artículo 4.</w:t>
      </w:r>
      <w:r w:rsidRPr="00444E6E">
        <w:rPr>
          <w:rFonts w:ascii="Palatino Linotype" w:hAnsi="Palatino Linotype" w:cs="Arial"/>
          <w:bCs/>
          <w:i/>
          <w:sz w:val="22"/>
        </w:rPr>
        <w:t xml:space="preserve"> </w:t>
      </w:r>
      <w:r w:rsidRPr="009C5FF5">
        <w:rPr>
          <w:rFonts w:ascii="Palatino Linotype" w:hAnsi="Palatino Linotype" w:cs="Arial"/>
          <w:bCs/>
          <w:i/>
          <w:sz w:val="22"/>
        </w:rPr>
        <w:t>El derecho humano de acceso a la información pública es la prerrogativa de las personas para buscar, difundir, investigar, recabar, recibir y solicitar información pública</w:t>
      </w:r>
      <w:r w:rsidRPr="00444E6E">
        <w:rPr>
          <w:rFonts w:ascii="Palatino Linotype" w:hAnsi="Palatino Linotype" w:cs="Arial"/>
          <w:bCs/>
          <w:i/>
          <w:sz w:val="22"/>
        </w:rPr>
        <w:t xml:space="preserve">, sin necesidad de acreditar personalidad ni interés jurídico. </w:t>
      </w:r>
    </w:p>
    <w:p w:rsidR="00B127CE" w:rsidRDefault="00B127CE" w:rsidP="0006747A">
      <w:pPr>
        <w:ind w:left="709" w:right="1038"/>
        <w:jc w:val="both"/>
        <w:rPr>
          <w:rFonts w:ascii="Palatino Linotype" w:hAnsi="Palatino Linotype" w:cs="Arial"/>
          <w:bCs/>
          <w:i/>
          <w:sz w:val="22"/>
        </w:rPr>
      </w:pPr>
      <w:r w:rsidRPr="00AE1F11">
        <w:rPr>
          <w:rFonts w:ascii="Palatino Linotype" w:hAnsi="Palatino Linotype" w:cs="Arial"/>
          <w:b/>
          <w:bCs/>
          <w:i/>
          <w:sz w:val="22"/>
        </w:rPr>
        <w:t>Toda la información generada, obtenida, adquirida, transformada, administrada o en posesión de los sujetos obligados es pública y accesible de manera permanente a cualquier persona</w:t>
      </w:r>
      <w:r w:rsidRPr="00AE1F11">
        <w:rPr>
          <w:rFonts w:ascii="Palatino Linotype" w:hAnsi="Palatino Linotype" w:cs="Arial"/>
          <w:bCs/>
          <w:i/>
          <w:sz w:val="22"/>
        </w:rPr>
        <w:t>,</w:t>
      </w:r>
      <w:r w:rsidRPr="00444E6E">
        <w:rPr>
          <w:rFonts w:ascii="Palatino Linotype" w:hAnsi="Palatino Linotype" w:cs="Arial"/>
          <w:bCs/>
          <w:i/>
          <w:sz w:val="22"/>
        </w:rPr>
        <w:t xml:space="preserve"> en los términos y condiciones que se establezcan en los tratados internacionales de los que el Estado mexicano sea parte, en la Ley General, la presente Ley y demás disposiciones de la materia, </w:t>
      </w:r>
      <w:r w:rsidRPr="00AE1F11">
        <w:rPr>
          <w:rFonts w:ascii="Palatino Linotype" w:hAnsi="Palatino Linotype" w:cs="Arial"/>
          <w:b/>
          <w:bCs/>
          <w:i/>
          <w:sz w:val="22"/>
        </w:rPr>
        <w:t>privilegiando el principio de máxima publicidad</w:t>
      </w:r>
      <w:r w:rsidRPr="00AE1F11">
        <w:rPr>
          <w:rFonts w:ascii="Palatino Linotype" w:hAnsi="Palatino Linotype" w:cs="Arial"/>
          <w:bCs/>
          <w:i/>
          <w:sz w:val="22"/>
        </w:rPr>
        <w:t xml:space="preserve"> </w:t>
      </w:r>
      <w:r w:rsidRPr="00444E6E">
        <w:rPr>
          <w:rFonts w:ascii="Palatino Linotype" w:hAnsi="Palatino Linotype" w:cs="Arial"/>
          <w:bCs/>
          <w:i/>
          <w:sz w:val="22"/>
        </w:rPr>
        <w:t xml:space="preserve">de la </w:t>
      </w:r>
      <w:r w:rsidRPr="00444E6E">
        <w:rPr>
          <w:rFonts w:ascii="Palatino Linotype" w:hAnsi="Palatino Linotype" w:cs="Arial"/>
          <w:i/>
          <w:color w:val="000000"/>
          <w:sz w:val="22"/>
        </w:rPr>
        <w:t>información</w:t>
      </w:r>
      <w:r w:rsidRPr="00444E6E">
        <w:rPr>
          <w:rFonts w:ascii="Palatino Linotype" w:hAnsi="Palatino Linotype" w:cs="Arial"/>
          <w:bCs/>
          <w:i/>
          <w:sz w:val="22"/>
        </w:rPr>
        <w:t xml:space="preserve">. Solo podrá ser clasificada excepcionalmente como reservada temporalmente por razones de interés público, en los términos de las causas legítimas y estrictamente necesarias previstas por esta Ley. </w:t>
      </w:r>
    </w:p>
    <w:p w:rsidR="00B127CE" w:rsidRDefault="00B127CE" w:rsidP="0006747A">
      <w:pPr>
        <w:ind w:left="709" w:right="1038"/>
        <w:jc w:val="both"/>
        <w:rPr>
          <w:rFonts w:ascii="Palatino Linotype" w:hAnsi="Palatino Linotype" w:cs="Arial"/>
          <w:bCs/>
          <w:i/>
          <w:sz w:val="22"/>
        </w:rPr>
      </w:pPr>
      <w:r w:rsidRPr="00444E6E">
        <w:rPr>
          <w:rFonts w:ascii="Palatino Linotype" w:hAnsi="Palatino Linotype" w:cs="Arial"/>
          <w:bCs/>
          <w:i/>
          <w:sz w:val="22"/>
        </w:rPr>
        <w:t xml:space="preserve">Los sujetos obligados deben poner en práctica, políticas y programas de acceso a la información que se apeguen a criterios de publicidad, veracidad, oportunidad, precisión y suficiencia en beneficio de los solicitantes. </w:t>
      </w:r>
    </w:p>
    <w:p w:rsidR="00B127CE" w:rsidRPr="00AE1F11" w:rsidRDefault="00B127CE" w:rsidP="0006747A">
      <w:pPr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  <w:r w:rsidRPr="0027180A">
        <w:rPr>
          <w:rFonts w:ascii="Palatino Linotype" w:hAnsi="Palatino Linotype" w:cs="Arial"/>
          <w:b/>
          <w:bCs/>
          <w:i/>
          <w:sz w:val="22"/>
        </w:rPr>
        <w:t xml:space="preserve">Artículo 9. </w:t>
      </w:r>
      <w:r w:rsidRPr="00AE1F11">
        <w:rPr>
          <w:rFonts w:ascii="Palatino Linotype" w:hAnsi="Palatino Linotype" w:cs="Arial"/>
          <w:b/>
          <w:bCs/>
          <w:i/>
          <w:sz w:val="22"/>
        </w:rPr>
        <w:t>El Instituto deberá regir su funcionamiento de acuerdo a los siguientes principios:</w:t>
      </w:r>
    </w:p>
    <w:p w:rsidR="00B127CE" w:rsidRDefault="00B127CE" w:rsidP="0006747A">
      <w:pPr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/>
          <w:bCs/>
          <w:i/>
          <w:sz w:val="22"/>
        </w:rPr>
        <w:t>I. Certeza:</w:t>
      </w:r>
      <w:r w:rsidRPr="006807DD">
        <w:rPr>
          <w:rFonts w:ascii="Palatino Linotype" w:hAnsi="Palatino Linotype" w:cs="Arial"/>
          <w:bCs/>
          <w:i/>
          <w:sz w:val="22"/>
        </w:rPr>
        <w:t xml:space="preserve"> </w:t>
      </w:r>
      <w:r w:rsidRPr="006807DD">
        <w:rPr>
          <w:rFonts w:ascii="Palatino Linotype" w:hAnsi="Palatino Linotype" w:cs="Arial"/>
          <w:b/>
          <w:bCs/>
          <w:i/>
          <w:sz w:val="22"/>
        </w:rPr>
        <w:t xml:space="preserve">Principio que otorga seguridad y certidumbre jurídica a los particulares, en virtud de que permite conocer si las acciones del Instituto son apegadas a derecho y garantiza que los procedimientos sean completamente verificables, fidedignos y confiables; </w:t>
      </w:r>
    </w:p>
    <w:p w:rsidR="00B127CE" w:rsidRPr="006807DD" w:rsidRDefault="00B127CE" w:rsidP="0006747A">
      <w:pPr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  <w:r>
        <w:rPr>
          <w:rFonts w:ascii="Palatino Linotype" w:hAnsi="Palatino Linotype" w:cs="Arial"/>
          <w:b/>
          <w:bCs/>
          <w:i/>
          <w:sz w:val="22"/>
        </w:rPr>
        <w:t>…</w:t>
      </w:r>
    </w:p>
    <w:p w:rsidR="00B127CE" w:rsidRDefault="00B127CE" w:rsidP="0006747A">
      <w:pPr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/>
          <w:bCs/>
          <w:i/>
          <w:sz w:val="22"/>
        </w:rPr>
        <w:t xml:space="preserve">VII. Máxima Publicidad: Toda la información en posesión de los sujetos obligados será pública, completa, oportuna y accesible, sujeta a un claro régimen de excepciones que deberán estar definidas y ser además legítimas y estrictamente necesarias en una sociedad democrática; </w:t>
      </w:r>
    </w:p>
    <w:p w:rsidR="00B127CE" w:rsidRPr="006807DD" w:rsidRDefault="00B127CE" w:rsidP="0006747A">
      <w:pPr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/>
          <w:bCs/>
          <w:i/>
          <w:sz w:val="22"/>
        </w:rPr>
        <w:t xml:space="preserve">VIII. Objetividad: Obligación del Instituto de ajustar su actuación a los presupuestos de ley que deben ser aplicados al analizar el caso en concreto </w:t>
      </w:r>
      <w:r w:rsidRPr="006807DD">
        <w:rPr>
          <w:rFonts w:ascii="Palatino Linotype" w:hAnsi="Palatino Linotype" w:cs="Arial"/>
          <w:b/>
          <w:bCs/>
          <w:i/>
          <w:sz w:val="22"/>
        </w:rPr>
        <w:lastRenderedPageBreak/>
        <w:t xml:space="preserve">y resolver todos los hechos, prescindiendo de las consideraciones y criterios personales; </w:t>
      </w:r>
    </w:p>
    <w:p w:rsidR="00B127CE" w:rsidRPr="00444E6E" w:rsidRDefault="00B127CE" w:rsidP="0006747A">
      <w:pPr>
        <w:ind w:left="709" w:right="1038"/>
        <w:jc w:val="both"/>
        <w:rPr>
          <w:rFonts w:ascii="Palatino Linotype" w:hAnsi="Palatino Linotype" w:cs="Arial"/>
          <w:bCs/>
          <w:i/>
          <w:sz w:val="22"/>
        </w:rPr>
      </w:pPr>
      <w:r>
        <w:rPr>
          <w:rFonts w:ascii="Palatino Linotype" w:hAnsi="Palatino Linotype" w:cs="Arial"/>
          <w:bCs/>
          <w:i/>
          <w:sz w:val="22"/>
        </w:rPr>
        <w:t>…</w:t>
      </w:r>
    </w:p>
    <w:p w:rsidR="00B127CE" w:rsidRPr="00444E6E" w:rsidRDefault="00B127CE" w:rsidP="0006747A">
      <w:pPr>
        <w:ind w:left="709" w:right="1038"/>
        <w:jc w:val="both"/>
        <w:rPr>
          <w:rFonts w:ascii="Palatino Linotype" w:hAnsi="Palatino Linotype" w:cs="Arial"/>
          <w:bCs/>
          <w:i/>
          <w:sz w:val="22"/>
        </w:rPr>
      </w:pPr>
      <w:r>
        <w:rPr>
          <w:rFonts w:ascii="Palatino Linotype" w:hAnsi="Palatino Linotype" w:cs="Arial"/>
          <w:bCs/>
          <w:i/>
          <w:sz w:val="22"/>
        </w:rPr>
        <w:t>(Énfasis añadido)</w:t>
      </w:r>
    </w:p>
    <w:p w:rsidR="0006747A" w:rsidRDefault="0006747A" w:rsidP="0006747A">
      <w:pPr>
        <w:spacing w:line="360" w:lineRule="auto"/>
        <w:jc w:val="both"/>
        <w:rPr>
          <w:rFonts w:ascii="Palatino Linotype" w:hAnsi="Palatino Linotype"/>
        </w:rPr>
      </w:pPr>
    </w:p>
    <w:p w:rsidR="00B127CE" w:rsidRDefault="00B127CE" w:rsidP="0006747A">
      <w:pPr>
        <w:spacing w:line="360" w:lineRule="auto"/>
        <w:jc w:val="both"/>
        <w:rPr>
          <w:rFonts w:ascii="Palatino Linotype" w:hAnsi="Palatino Linotype"/>
          <w:lang w:eastAsia="es-MX"/>
        </w:rPr>
      </w:pPr>
      <w:r>
        <w:rPr>
          <w:rFonts w:ascii="Palatino Linotype" w:hAnsi="Palatino Linotype"/>
        </w:rPr>
        <w:t xml:space="preserve">A fin de robustecer lo expuesto, conviene citar </w:t>
      </w:r>
      <w:r>
        <w:rPr>
          <w:rFonts w:ascii="Palatino Linotype" w:hAnsi="Palatino Linotype" w:cs="Segoe UI"/>
        </w:rPr>
        <w:t xml:space="preserve">el criterio orientador </w:t>
      </w:r>
      <w:r>
        <w:rPr>
          <w:rFonts w:ascii="Palatino Linotype" w:hAnsi="Palatino Linotype"/>
          <w:lang w:eastAsia="es-MX"/>
        </w:rPr>
        <w:t>002/2017</w:t>
      </w:r>
      <w:r w:rsidRPr="0090521E">
        <w:rPr>
          <w:rFonts w:ascii="Palatino Linotype" w:hAnsi="Palatino Linotype"/>
          <w:lang w:eastAsia="es-MX"/>
        </w:rPr>
        <w:t xml:space="preserve"> del</w:t>
      </w:r>
      <w:r>
        <w:rPr>
          <w:rFonts w:ascii="Palatino Linotype" w:hAnsi="Palatino Linotype"/>
          <w:lang w:eastAsia="es-MX"/>
        </w:rPr>
        <w:t xml:space="preserve"> </w:t>
      </w:r>
      <w:r w:rsidRPr="0090521E">
        <w:rPr>
          <w:rFonts w:ascii="Palatino Linotype" w:hAnsi="Palatino Linotype"/>
          <w:lang w:eastAsia="es-MX"/>
        </w:rPr>
        <w:t>Instituto Nacional de Acceso a la Información y Protección de Datos (INAI)</w:t>
      </w:r>
      <w:r>
        <w:rPr>
          <w:rFonts w:ascii="Palatino Linotype" w:hAnsi="Palatino Linotype"/>
          <w:lang w:eastAsia="es-MX"/>
        </w:rPr>
        <w:t>, que señala lo siguiente:</w:t>
      </w:r>
    </w:p>
    <w:p w:rsidR="0006747A" w:rsidRDefault="0006747A" w:rsidP="0006747A">
      <w:pPr>
        <w:spacing w:line="360" w:lineRule="auto"/>
        <w:jc w:val="both"/>
        <w:rPr>
          <w:rFonts w:ascii="Palatino Linotype" w:hAnsi="Palatino Linotype"/>
          <w:lang w:eastAsia="es-MX"/>
        </w:rPr>
      </w:pPr>
    </w:p>
    <w:p w:rsidR="00B127CE" w:rsidRPr="00D621C2" w:rsidRDefault="00B127CE" w:rsidP="0006747A">
      <w:pPr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/>
          <w:bCs/>
          <w:i/>
          <w:sz w:val="22"/>
        </w:rPr>
        <w:t>“Congruencia y exhaustividad.</w:t>
      </w:r>
      <w:r w:rsidRPr="006807DD">
        <w:rPr>
          <w:rFonts w:ascii="Palatino Linotype" w:hAnsi="Palatino Linotype" w:cs="Arial"/>
          <w:bCs/>
          <w:i/>
          <w:sz w:val="22"/>
        </w:rPr>
        <w:t xml:space="preserve"> Sus alcances para garantizar el derecho de acceso a la información. De conformidad con el artículo 3 de la Ley Federal de Procedimiento Administrativo, de aplicación supletoria a la Ley Federal de Transparencia y Acceso a la Información Pública, en términos de su artículo 7; todo acto administrativo debe cumplir con los principios de congruencia y exhaustividad. Para el efectivo ejercicio del derecho de acceso a la información, </w:t>
      </w:r>
      <w:r w:rsidRPr="00D621C2">
        <w:rPr>
          <w:rFonts w:ascii="Palatino Linotype" w:hAnsi="Palatino Linotype" w:cs="Arial"/>
          <w:b/>
          <w:bCs/>
          <w:i/>
          <w:sz w:val="22"/>
        </w:rPr>
        <w:t>la congruencia implica que exista concordancia entre el requerimiento formulado por el particular y la respuesta proporcionada por el sujeto obligado;</w:t>
      </w:r>
      <w:r w:rsidRPr="006807DD">
        <w:rPr>
          <w:rFonts w:ascii="Palatino Linotype" w:hAnsi="Palatino Linotype" w:cs="Arial"/>
          <w:bCs/>
          <w:i/>
          <w:sz w:val="22"/>
        </w:rPr>
        <w:t xml:space="preserve"> mientras que </w:t>
      </w:r>
      <w:r w:rsidRPr="00D621C2">
        <w:rPr>
          <w:rFonts w:ascii="Palatino Linotype" w:hAnsi="Palatino Linotype" w:cs="Arial"/>
          <w:b/>
          <w:bCs/>
          <w:i/>
          <w:sz w:val="22"/>
        </w:rPr>
        <w:t xml:space="preserve">la exhaustividad significa que dicha respuesta se refiera expresamente a cada uno de los puntos solicitados. </w:t>
      </w:r>
      <w:r w:rsidRPr="006807DD">
        <w:rPr>
          <w:rFonts w:ascii="Palatino Linotype" w:hAnsi="Palatino Linotype" w:cs="Arial"/>
          <w:bCs/>
          <w:i/>
          <w:sz w:val="22"/>
        </w:rPr>
        <w:t xml:space="preserve">Por lo anterior, los sujetos obligados cumplirán con los principios de congruencia y exhaustividad, </w:t>
      </w:r>
      <w:r w:rsidRPr="00D621C2">
        <w:rPr>
          <w:rFonts w:ascii="Palatino Linotype" w:hAnsi="Palatino Linotype" w:cs="Arial"/>
          <w:b/>
          <w:bCs/>
          <w:i/>
          <w:sz w:val="22"/>
        </w:rPr>
        <w:t>cuando las respuestas que emitan guarden una relación lógica con lo solicitado y atiendan de manera puntual y expresa, cada uno de los contenidos de información.</w:t>
      </w:r>
    </w:p>
    <w:p w:rsidR="00B127CE" w:rsidRDefault="00B127CE" w:rsidP="0006747A">
      <w:pPr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Cs/>
          <w:i/>
          <w:sz w:val="22"/>
        </w:rPr>
        <w:t xml:space="preserve">Resoluciones: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0003/16. Comisión Nacional de las Zonas Áridas. 29 de junio de 2016. Por unanimidad. Comisionado Ponente Oscar Mauricio Guerra Ford.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0100/16. Sindicato Nacional de Trabajadores de la Educación. 13 de julio de 2016. Por unanimidad. Comisionada Ponente. Areli Cano Guadiana.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1419/16. Secretaría de Educación Pública. 14 de septiembre de 2016. Por unanimidad. Comisionado Ponente Rosendoevgueni Monterrey Chepov</w:t>
      </w:r>
      <w:r w:rsidRPr="007D2ED5">
        <w:rPr>
          <w:rFonts w:ascii="Palatino Linotype" w:hAnsi="Palatino Linotype" w:cs="Arial"/>
          <w:b/>
          <w:bCs/>
          <w:i/>
          <w:sz w:val="22"/>
        </w:rPr>
        <w:t>.”</w:t>
      </w:r>
    </w:p>
    <w:p w:rsidR="0006747A" w:rsidRDefault="0006747A" w:rsidP="0006747A">
      <w:pPr>
        <w:spacing w:line="360" w:lineRule="auto"/>
        <w:jc w:val="both"/>
        <w:rPr>
          <w:rFonts w:ascii="Palatino Linotype" w:hAnsi="Palatino Linotype" w:cs="Arial"/>
        </w:rPr>
      </w:pPr>
    </w:p>
    <w:p w:rsidR="00B127CE" w:rsidRDefault="00B127CE" w:rsidP="0006747A">
      <w:pPr>
        <w:spacing w:line="360" w:lineRule="auto"/>
        <w:jc w:val="both"/>
        <w:rPr>
          <w:rFonts w:ascii="Palatino Linotype" w:hAnsi="Palatino Linotype" w:cs="Arial"/>
        </w:rPr>
      </w:pPr>
      <w:r w:rsidRPr="000A6958">
        <w:rPr>
          <w:rFonts w:ascii="Palatino Linotype" w:hAnsi="Palatino Linotype" w:cs="Arial"/>
        </w:rPr>
        <w:t>Es por lo anteriormen</w:t>
      </w:r>
      <w:r>
        <w:rPr>
          <w:rFonts w:ascii="Palatino Linotype" w:hAnsi="Palatino Linotype" w:cs="Arial"/>
        </w:rPr>
        <w:t>te expuesto que, la que suscribe</w:t>
      </w:r>
      <w:r w:rsidRPr="000A6958">
        <w:rPr>
          <w:rFonts w:ascii="Palatino Linotype" w:hAnsi="Palatino Linotype" w:cs="Arial"/>
        </w:rPr>
        <w:t xml:space="preserve"> emite </w:t>
      </w:r>
      <w:r w:rsidRPr="000A6958">
        <w:rPr>
          <w:rFonts w:ascii="Palatino Linotype" w:hAnsi="Palatino Linotype" w:cs="Arial"/>
          <w:b/>
        </w:rPr>
        <w:t>VOTO PARTICULAR</w:t>
      </w:r>
      <w:r w:rsidRPr="000A6958">
        <w:rPr>
          <w:rFonts w:ascii="Palatino Linotype" w:hAnsi="Palatino Linotype" w:cs="Arial"/>
        </w:rPr>
        <w:t xml:space="preserve">, pues se insiste que </w:t>
      </w:r>
      <w:r>
        <w:rPr>
          <w:rFonts w:ascii="Palatino Linotype" w:hAnsi="Palatino Linotype" w:cs="Arial"/>
        </w:rPr>
        <w:t xml:space="preserve">lo </w:t>
      </w:r>
      <w:r w:rsidRPr="000A6958">
        <w:rPr>
          <w:rFonts w:ascii="Palatino Linotype" w:hAnsi="Palatino Linotype" w:cs="Arial"/>
        </w:rPr>
        <w:t xml:space="preserve">procedente </w:t>
      </w:r>
      <w:r>
        <w:rPr>
          <w:rFonts w:ascii="Palatino Linotype" w:hAnsi="Palatino Linotype" w:cs="Arial"/>
        </w:rPr>
        <w:t xml:space="preserve">respecto a la temporalidad de la información que se ordena entregar en el </w:t>
      </w:r>
      <w:r w:rsidR="00FF006E">
        <w:rPr>
          <w:rFonts w:ascii="Palatino Linotype" w:hAnsi="Palatino Linotype" w:cs="Arial"/>
        </w:rPr>
        <w:t>numeral 1 de</w:t>
      </w:r>
      <w:r>
        <w:rPr>
          <w:rFonts w:ascii="Palatino Linotype" w:hAnsi="Palatino Linotype" w:cs="Arial"/>
        </w:rPr>
        <w:t xml:space="preserve">l </w:t>
      </w:r>
      <w:r w:rsidR="00FF006E">
        <w:rPr>
          <w:rFonts w:ascii="Palatino Linotype" w:hAnsi="Palatino Linotype" w:cs="Arial"/>
        </w:rPr>
        <w:t xml:space="preserve">Resolutivo </w:t>
      </w:r>
      <w:r>
        <w:rPr>
          <w:rFonts w:ascii="Palatino Linotype" w:hAnsi="Palatino Linotype" w:cs="Arial"/>
        </w:rPr>
        <w:t xml:space="preserve">SEGUNDO de la resolución de mérito, </w:t>
      </w:r>
      <w:r>
        <w:rPr>
          <w:rFonts w:ascii="Palatino Linotype" w:hAnsi="Palatino Linotype" w:cs="Arial"/>
        </w:rPr>
        <w:lastRenderedPageBreak/>
        <w:t>debió corresponder al mes de septiembre del año 201</w:t>
      </w:r>
      <w:r w:rsidR="00FF006E">
        <w:rPr>
          <w:rFonts w:ascii="Palatino Linotype" w:hAnsi="Palatino Linotype" w:cs="Arial"/>
        </w:rPr>
        <w:t>8</w:t>
      </w:r>
      <w:r>
        <w:rPr>
          <w:rFonts w:ascii="Palatino Linotype" w:hAnsi="Palatino Linotype" w:cs="Arial"/>
        </w:rPr>
        <w:t xml:space="preserve">, derivado del requerimiento </w:t>
      </w:r>
      <w:r w:rsidR="00FF006E">
        <w:rPr>
          <w:rFonts w:ascii="Palatino Linotype" w:hAnsi="Palatino Linotype" w:cs="Arial"/>
        </w:rPr>
        <w:t>planteado por la</w:t>
      </w:r>
      <w:r>
        <w:rPr>
          <w:rFonts w:ascii="Palatino Linotype" w:hAnsi="Palatino Linotype" w:cs="Arial"/>
        </w:rPr>
        <w:t xml:space="preserve"> particular, a fin de</w:t>
      </w:r>
      <w:r w:rsidR="00FF006E">
        <w:rPr>
          <w:rFonts w:ascii="Palatino Linotype" w:hAnsi="Palatino Linotype" w:cs="Arial"/>
        </w:rPr>
        <w:t xml:space="preserve"> ser congruentes con lo solicitado y lo que se ordena cumpliendo con los principios de </w:t>
      </w:r>
      <w:r>
        <w:rPr>
          <w:rFonts w:ascii="Palatino Linotype" w:hAnsi="Palatino Linotype" w:cs="Arial"/>
        </w:rPr>
        <w:t>certeza</w:t>
      </w:r>
      <w:r w:rsidR="00FF006E">
        <w:rPr>
          <w:rFonts w:ascii="Palatino Linotype" w:hAnsi="Palatino Linotype" w:cs="Arial"/>
        </w:rPr>
        <w:t>, máxima publicidad y objetividad, a los que ya se ha hecho referencia.</w:t>
      </w:r>
    </w:p>
    <w:p w:rsidR="00B127CE" w:rsidRDefault="00B127CE" w:rsidP="0006747A">
      <w:pPr>
        <w:spacing w:line="360" w:lineRule="auto"/>
        <w:jc w:val="both"/>
        <w:rPr>
          <w:rFonts w:ascii="Palatino Linotype" w:hAnsi="Palatino Linotype" w:cs="Arial"/>
        </w:rPr>
      </w:pPr>
    </w:p>
    <w:p w:rsidR="00B127CE" w:rsidRDefault="00B127CE" w:rsidP="0006747A">
      <w:pPr>
        <w:spacing w:line="360" w:lineRule="auto"/>
        <w:jc w:val="both"/>
        <w:rPr>
          <w:rFonts w:ascii="Palatino Linotype" w:hAnsi="Palatino Linotype" w:cs="Arial"/>
        </w:rPr>
      </w:pPr>
    </w:p>
    <w:p w:rsidR="0006747A" w:rsidRDefault="0006747A" w:rsidP="0006747A">
      <w:pPr>
        <w:spacing w:line="360" w:lineRule="auto"/>
        <w:jc w:val="both"/>
        <w:rPr>
          <w:rFonts w:ascii="Palatino Linotype" w:hAnsi="Palatino Linotype" w:cs="Arial"/>
        </w:rPr>
      </w:pPr>
    </w:p>
    <w:p w:rsidR="0006747A" w:rsidRDefault="0006747A" w:rsidP="0006747A">
      <w:pPr>
        <w:spacing w:line="360" w:lineRule="auto"/>
        <w:jc w:val="both"/>
        <w:rPr>
          <w:rFonts w:ascii="Palatino Linotype" w:hAnsi="Palatino Linotype" w:cs="Arial"/>
        </w:rPr>
      </w:pPr>
    </w:p>
    <w:p w:rsidR="0006747A" w:rsidRDefault="0006747A" w:rsidP="0006747A">
      <w:pPr>
        <w:spacing w:line="360" w:lineRule="auto"/>
        <w:jc w:val="both"/>
        <w:rPr>
          <w:rFonts w:ascii="Palatino Linotype" w:hAnsi="Palatino Linotype" w:cs="Arial"/>
        </w:rPr>
      </w:pPr>
    </w:p>
    <w:p w:rsidR="0006747A" w:rsidRDefault="0006747A" w:rsidP="0006747A">
      <w:pPr>
        <w:spacing w:line="360" w:lineRule="auto"/>
        <w:jc w:val="both"/>
        <w:rPr>
          <w:rFonts w:ascii="Palatino Linotype" w:hAnsi="Palatino Linotype" w:cs="Arial"/>
        </w:rPr>
      </w:pPr>
    </w:p>
    <w:p w:rsidR="00800171" w:rsidRDefault="00800171" w:rsidP="0006747A">
      <w:pPr>
        <w:spacing w:line="360" w:lineRule="auto"/>
        <w:jc w:val="both"/>
        <w:rPr>
          <w:rFonts w:ascii="Palatino Linotype" w:hAnsi="Palatino Linotype" w:cs="Arial"/>
        </w:rPr>
      </w:pPr>
    </w:p>
    <w:p w:rsidR="00800171" w:rsidRDefault="00800171" w:rsidP="0006747A">
      <w:pPr>
        <w:spacing w:line="360" w:lineRule="auto"/>
        <w:jc w:val="both"/>
        <w:rPr>
          <w:rFonts w:ascii="Palatino Linotype" w:hAnsi="Palatino Linotype" w:cs="Arial"/>
        </w:rPr>
      </w:pPr>
    </w:p>
    <w:p w:rsidR="00B127CE" w:rsidRDefault="00B127CE" w:rsidP="0006747A">
      <w:pPr>
        <w:spacing w:line="360" w:lineRule="auto"/>
        <w:jc w:val="both"/>
        <w:rPr>
          <w:rFonts w:ascii="Palatino Linotype" w:hAnsi="Palatino Linotype" w:cs="Arial"/>
        </w:rPr>
      </w:pPr>
    </w:p>
    <w:p w:rsidR="00800171" w:rsidRPr="007F3031" w:rsidRDefault="00800171" w:rsidP="0006747A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B127CE" w:rsidRPr="001950C9" w:rsidTr="004F7B38">
        <w:trPr>
          <w:jc w:val="center"/>
        </w:trPr>
        <w:tc>
          <w:tcPr>
            <w:tcW w:w="4393" w:type="dxa"/>
          </w:tcPr>
          <w:p w:rsidR="00B127CE" w:rsidRPr="001950C9" w:rsidRDefault="00B127CE" w:rsidP="0006747A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B127CE" w:rsidRPr="001950C9" w:rsidRDefault="00B127CE" w:rsidP="00800171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</w:tc>
      </w:tr>
    </w:tbl>
    <w:p w:rsidR="00B127CE" w:rsidRDefault="00B127CE" w:rsidP="0006747A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B127CE" w:rsidRDefault="00B127CE" w:rsidP="0006747A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B127CE" w:rsidRDefault="00B127CE" w:rsidP="0006747A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B127CE" w:rsidRDefault="00B127CE" w:rsidP="0006747A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06747A" w:rsidRDefault="0006747A" w:rsidP="0006747A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FF006E" w:rsidRDefault="00FF006E" w:rsidP="0006747A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FF006E" w:rsidRDefault="00FF006E" w:rsidP="0006747A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B127CE" w:rsidRDefault="00B127CE" w:rsidP="0006747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al voto particular emitido en </w:t>
      </w:r>
      <w:r w:rsidR="00FF006E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el recurso de revisión 0</w:t>
      </w:r>
      <w:r w:rsidR="00FF006E">
        <w:rPr>
          <w:rFonts w:ascii="Palatino Linotype" w:eastAsia="Calibri" w:hAnsi="Palatino Linotype" w:cs="Arial"/>
          <w:color w:val="000000" w:themeColor="text1"/>
          <w:sz w:val="20"/>
          <w:szCs w:val="20"/>
        </w:rPr>
        <w:t>4579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8</w:t>
      </w:r>
      <w:r w:rsidR="00FF006E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aprobada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FF006E">
        <w:rPr>
          <w:rFonts w:ascii="Palatino Linotype" w:eastAsia="Calibri" w:hAnsi="Palatino Linotype" w:cs="Arial"/>
          <w:color w:val="000000" w:themeColor="text1"/>
          <w:sz w:val="20"/>
          <w:szCs w:val="20"/>
        </w:rPr>
        <w:t>treinta de enero de do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s mil dieci</w:t>
      </w:r>
      <w:r w:rsidR="00FF006E">
        <w:rPr>
          <w:rFonts w:ascii="Palatino Linotype" w:eastAsia="Calibri" w:hAnsi="Palatino Linotype" w:cs="Arial"/>
          <w:color w:val="000000" w:themeColor="text1"/>
          <w:sz w:val="20"/>
          <w:szCs w:val="20"/>
        </w:rPr>
        <w:t>nueve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:rsidR="00800171" w:rsidRPr="00800171" w:rsidRDefault="00800171" w:rsidP="0006747A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B127CE" w:rsidRDefault="00B127CE" w:rsidP="0006747A">
      <w:pPr>
        <w:jc w:val="both"/>
      </w:pPr>
      <w:r w:rsidRPr="00C60EC0">
        <w:rPr>
          <w:rFonts w:ascii="Palatino Linotype" w:eastAsia="Calibri" w:hAnsi="Palatino Linotype" w:cs="Arial"/>
          <w:color w:val="000000" w:themeColor="text1"/>
          <w:sz w:val="18"/>
          <w:szCs w:val="18"/>
        </w:rPr>
        <w:t>YSM/A</w:t>
      </w:r>
      <w:r>
        <w:rPr>
          <w:rFonts w:ascii="Palatino Linotype" w:eastAsia="Calibri" w:hAnsi="Palatino Linotype" w:cs="Arial"/>
          <w:color w:val="000000" w:themeColor="text1"/>
          <w:sz w:val="18"/>
          <w:szCs w:val="18"/>
        </w:rPr>
        <w:t>MV</w:t>
      </w:r>
    </w:p>
    <w:sectPr w:rsidR="00B127CE" w:rsidSect="00017A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EB6" w:rsidRDefault="00BF0EB6" w:rsidP="00B127CE">
      <w:r>
        <w:separator/>
      </w:r>
    </w:p>
  </w:endnote>
  <w:endnote w:type="continuationSeparator" w:id="0">
    <w:p w:rsidR="00BF0EB6" w:rsidRDefault="00BF0EB6" w:rsidP="00B1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BF0EB6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F436AF" w:rsidRDefault="00F436A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BF0EB6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BF0EB6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BF0EB6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B346EB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800171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800171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BF0EB6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EB6" w:rsidRDefault="00BF0EB6" w:rsidP="00B127CE">
      <w:r>
        <w:separator/>
      </w:r>
    </w:p>
  </w:footnote>
  <w:footnote w:type="continuationSeparator" w:id="0">
    <w:p w:rsidR="00BF0EB6" w:rsidRDefault="00BF0EB6" w:rsidP="00B127CE">
      <w:r>
        <w:continuationSeparator/>
      </w:r>
    </w:p>
  </w:footnote>
  <w:footnote w:id="1">
    <w:p w:rsidR="00F436AF" w:rsidRPr="00F436AF" w:rsidRDefault="00F436AF" w:rsidP="00F436AF">
      <w:pPr>
        <w:pStyle w:val="Textonotapie"/>
        <w:jc w:val="both"/>
        <w:rPr>
          <w:rFonts w:ascii="Palatino Linotype" w:hAnsi="Palatino Linotype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F436AF">
        <w:rPr>
          <w:rFonts w:ascii="Palatino Linotype" w:hAnsi="Palatino Linotype"/>
          <w:b/>
          <w:sz w:val="16"/>
          <w:szCs w:val="16"/>
        </w:rPr>
        <w:t>Artículo 13.</w:t>
      </w:r>
      <w:r w:rsidRPr="00F436AF">
        <w:rPr>
          <w:rFonts w:ascii="Palatino Linotype" w:hAnsi="Palatino Linotype"/>
          <w:sz w:val="16"/>
          <w:szCs w:val="16"/>
        </w:rPr>
        <w:t xml:space="preserve"> El Instituto, en el ámbito de sus atribuciones, deberá suplir cualquier deficiencia para garantizar el ejercicio del derecho de acceso a la información.</w:t>
      </w:r>
    </w:p>
    <w:p w:rsidR="00F436AF" w:rsidRPr="00F436AF" w:rsidRDefault="00F436AF" w:rsidP="00F436AF">
      <w:pPr>
        <w:pStyle w:val="Textonotapie"/>
        <w:jc w:val="both"/>
        <w:rPr>
          <w:rFonts w:ascii="Palatino Linotype" w:hAnsi="Palatino Linotype"/>
          <w:sz w:val="16"/>
          <w:szCs w:val="16"/>
        </w:rPr>
      </w:pPr>
      <w:r w:rsidRPr="00F436AF">
        <w:rPr>
          <w:rFonts w:ascii="Palatino Linotype" w:hAnsi="Palatino Linotype"/>
          <w:b/>
          <w:sz w:val="16"/>
          <w:szCs w:val="16"/>
        </w:rPr>
        <w:t>Artículo 181</w:t>
      </w:r>
      <w:r w:rsidRPr="00F436AF">
        <w:rPr>
          <w:rFonts w:ascii="Palatino Linotype" w:hAnsi="Palatino Linotype"/>
          <w:sz w:val="16"/>
          <w:szCs w:val="16"/>
        </w:rPr>
        <w:t>….</w:t>
      </w:r>
    </w:p>
    <w:p w:rsidR="00F436AF" w:rsidRPr="00F436AF" w:rsidRDefault="00F436AF" w:rsidP="00F436AF">
      <w:pPr>
        <w:pStyle w:val="Textonotapie"/>
        <w:jc w:val="both"/>
        <w:rPr>
          <w:rFonts w:ascii="Palatino Linotype" w:hAnsi="Palatino Linotype"/>
          <w:sz w:val="16"/>
          <w:szCs w:val="16"/>
          <w:lang w:val="es-MX"/>
        </w:rPr>
      </w:pPr>
      <w:r w:rsidRPr="00F436AF">
        <w:rPr>
          <w:rFonts w:ascii="Palatino Linotype" w:hAnsi="Palatino Linotype"/>
          <w:sz w:val="16"/>
          <w:szCs w:val="16"/>
        </w:rPr>
        <w:t>Durante el procedimiento deberá aplicarse la suplencia de la queja a favor del recurrente, sin cambiar los hechos expuestos, asegurándose de que las partes puedan presentar, de manera oral o escrita, los argumentos que funden y motiven sus pretensiones.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BF0EB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F5A" w:rsidRDefault="00B346EB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6DF24434" wp14:editId="022F829E">
          <wp:simplePos x="0" y="0"/>
          <wp:positionH relativeFrom="column">
            <wp:posOffset>-679326</wp:posOffset>
          </wp:positionH>
          <wp:positionV relativeFrom="paragraph">
            <wp:posOffset>-450520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5C7C8F" w:rsidRDefault="00BF0EB6" w:rsidP="00DC5C4E">
    <w:pPr>
      <w:pStyle w:val="Encabezado"/>
      <w:tabs>
        <w:tab w:val="clear" w:pos="4252"/>
        <w:tab w:val="clear" w:pos="8504"/>
        <w:tab w:val="left" w:pos="2326"/>
      </w:tabs>
      <w:jc w:val="right"/>
    </w:pPr>
  </w:p>
  <w:p w:rsidR="005C7C8F" w:rsidRDefault="00B346EB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5C7C8F" w:rsidRDefault="00B346EB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</w:t>
    </w:r>
    <w:r w:rsidR="00B127CE">
      <w:rPr>
        <w:rFonts w:ascii="Palatino Linotype" w:hAnsi="Palatino Linotype" w:cs="Arial"/>
        <w:sz w:val="20"/>
        <w:szCs w:val="20"/>
      </w:rPr>
      <w:t>4579</w:t>
    </w:r>
    <w:r>
      <w:rPr>
        <w:rFonts w:ascii="Palatino Linotype" w:hAnsi="Palatino Linotype" w:cs="Arial"/>
        <w:sz w:val="20"/>
        <w:szCs w:val="20"/>
      </w:rPr>
      <w:t>/INFOEM/IP</w:t>
    </w:r>
    <w:r w:rsidRPr="00706042">
      <w:rPr>
        <w:rFonts w:ascii="Palatino Linotype" w:hAnsi="Palatino Linotype" w:cs="Arial"/>
        <w:sz w:val="20"/>
        <w:szCs w:val="20"/>
      </w:rPr>
      <w:t>/RR/201</w:t>
    </w:r>
    <w:r>
      <w:rPr>
        <w:rFonts w:ascii="Palatino Linotype" w:hAnsi="Palatino Linotype" w:cs="Arial"/>
        <w:sz w:val="20"/>
        <w:szCs w:val="20"/>
      </w:rPr>
      <w:t>8</w:t>
    </w:r>
  </w:p>
  <w:p w:rsidR="00986F5A" w:rsidRDefault="00800171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0;margin-top:0;width:614.65pt;height:92.6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BF0EB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23B9F"/>
    <w:multiLevelType w:val="hybridMultilevel"/>
    <w:tmpl w:val="FC5CDC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0C93"/>
    <w:multiLevelType w:val="hybridMultilevel"/>
    <w:tmpl w:val="165C0702"/>
    <w:lvl w:ilvl="0" w:tplc="D2F81FA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CE"/>
    <w:rsid w:val="0006747A"/>
    <w:rsid w:val="002E7916"/>
    <w:rsid w:val="002F45C2"/>
    <w:rsid w:val="003202A4"/>
    <w:rsid w:val="00451B2C"/>
    <w:rsid w:val="00800171"/>
    <w:rsid w:val="00997C47"/>
    <w:rsid w:val="00B127CE"/>
    <w:rsid w:val="00B346EB"/>
    <w:rsid w:val="00BF0EB6"/>
    <w:rsid w:val="00C23B43"/>
    <w:rsid w:val="00C9714C"/>
    <w:rsid w:val="00EC41B8"/>
    <w:rsid w:val="00F436AF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0938469-5183-4D26-AF73-82D2FC55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7CE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127CE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127CE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27CE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B127CE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B127CE"/>
    <w:rPr>
      <w:rFonts w:eastAsiaTheme="minorEastAsia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2E7916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436A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36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436A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0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06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47E2-3C3E-42D6-8DC6-A5A56EB3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1347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2019-02-05T20:05:00Z</cp:lastPrinted>
  <dcterms:created xsi:type="dcterms:W3CDTF">2019-01-31T19:17:00Z</dcterms:created>
  <dcterms:modified xsi:type="dcterms:W3CDTF">2019-02-15T20:11:00Z</dcterms:modified>
</cp:coreProperties>
</file>